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0F3" w:rsidRPr="00502085" w:rsidRDefault="003275E4" w:rsidP="00344166">
      <w:pPr>
        <w:pStyle w:val="Tekstpodstawowywcity"/>
        <w:spacing w:line="288" w:lineRule="auto"/>
        <w:ind w:firstLine="0"/>
      </w:pPr>
      <w:r>
        <w:tab/>
      </w:r>
      <w:r>
        <w:tab/>
      </w:r>
      <w:r>
        <w:tab/>
      </w:r>
      <w:r>
        <w:tab/>
      </w:r>
      <w:r>
        <w:tab/>
      </w:r>
      <w:r>
        <w:tab/>
      </w:r>
      <w:r>
        <w:tab/>
      </w:r>
      <w:r>
        <w:tab/>
      </w:r>
      <w:r>
        <w:tab/>
      </w:r>
      <w:r w:rsidR="005F077E">
        <w:tab/>
      </w:r>
      <w:r w:rsidR="005F077E">
        <w:tab/>
      </w:r>
      <w:r w:rsidR="005F077E">
        <w:tab/>
      </w:r>
      <w:r w:rsidR="005F077E">
        <w:tab/>
      </w:r>
      <w:r w:rsidR="005F077E">
        <w:tab/>
      </w:r>
      <w:r w:rsidR="005F077E">
        <w:tab/>
      </w:r>
      <w:r w:rsidR="005F077E">
        <w:tab/>
      </w:r>
      <w:r w:rsidR="005F077E">
        <w:tab/>
      </w:r>
      <w:r w:rsidR="002A20F3">
        <w:t>Staszów, dnia 2020-02-</w:t>
      </w:r>
      <w:r w:rsidR="005F077E">
        <w:t>17</w:t>
      </w:r>
    </w:p>
    <w:p w:rsidR="002A20F3" w:rsidRDefault="002A20F3" w:rsidP="00344166">
      <w:pPr>
        <w:pStyle w:val="Tekstpodstawowywcity"/>
        <w:spacing w:line="288" w:lineRule="auto"/>
        <w:jc w:val="center"/>
        <w:rPr>
          <w:b/>
          <w:bCs/>
        </w:rPr>
      </w:pPr>
      <w:r w:rsidRPr="00EB6E12">
        <w:rPr>
          <w:b/>
          <w:bCs/>
        </w:rPr>
        <w:t>Starosta Staszowski</w:t>
      </w:r>
    </w:p>
    <w:p w:rsidR="002A20F3" w:rsidRPr="00EB6E12" w:rsidRDefault="002A20F3" w:rsidP="00344166">
      <w:pPr>
        <w:pStyle w:val="Tekstpodstawowywcity"/>
        <w:spacing w:line="288" w:lineRule="auto"/>
        <w:jc w:val="center"/>
      </w:pPr>
    </w:p>
    <w:p w:rsidR="002A20F3" w:rsidRDefault="002A20F3" w:rsidP="005F077E">
      <w:pPr>
        <w:pStyle w:val="Tekstpodstawowywcity"/>
        <w:spacing w:line="288" w:lineRule="auto"/>
        <w:ind w:firstLine="0"/>
        <w:jc w:val="both"/>
      </w:pPr>
      <w:r w:rsidRPr="00EB6E12">
        <w:t xml:space="preserve">działając na podstawie art. 35 ust. 1 i 2 ustawy z dnia 21 sierpnia 1997 r. </w:t>
      </w:r>
      <w:r w:rsidRPr="00F1176A">
        <w:rPr>
          <w:i/>
        </w:rPr>
        <w:t>o gospodarce nieruchomościami</w:t>
      </w:r>
      <w:r>
        <w:t xml:space="preserve"> (tj. Dz. U.</w:t>
      </w:r>
      <w:r w:rsidRPr="00EB6E12">
        <w:t xml:space="preserve"> z  2</w:t>
      </w:r>
      <w:r>
        <w:t>020</w:t>
      </w:r>
      <w:r w:rsidRPr="00EB6E12">
        <w:t xml:space="preserve"> r.</w:t>
      </w:r>
      <w:r w:rsidR="005F077E">
        <w:t xml:space="preserve">, poz. 65), zarządzenia </w:t>
      </w:r>
      <w:r w:rsidR="005F077E">
        <w:br/>
        <w:t>Nr 7/2020</w:t>
      </w:r>
      <w:r>
        <w:t xml:space="preserve"> Starosty Staszowskiego z dnia</w:t>
      </w:r>
      <w:r w:rsidR="005F077E">
        <w:t xml:space="preserve"> 17 lutego 2020</w:t>
      </w:r>
      <w:r>
        <w:t xml:space="preserve"> r.</w:t>
      </w:r>
      <w:r w:rsidRPr="00EB6E12">
        <w:t xml:space="preserve"> podaje do publicznej wiadomości</w:t>
      </w:r>
      <w:r>
        <w:t xml:space="preserve"> </w:t>
      </w:r>
      <w:r w:rsidRPr="00EB6E12">
        <w:rPr>
          <w:b/>
          <w:bCs/>
        </w:rPr>
        <w:t>wyka</w:t>
      </w:r>
      <w:r>
        <w:rPr>
          <w:b/>
          <w:bCs/>
        </w:rPr>
        <w:t xml:space="preserve">z </w:t>
      </w:r>
      <w:r w:rsidRPr="00F1176A">
        <w:rPr>
          <w:bCs/>
        </w:rPr>
        <w:t>sporządzony dla</w:t>
      </w:r>
      <w:r>
        <w:rPr>
          <w:b/>
          <w:bCs/>
        </w:rPr>
        <w:t xml:space="preserve"> </w:t>
      </w:r>
      <w:r w:rsidRPr="00EB6E12">
        <w:t>nieruchomoś</w:t>
      </w:r>
      <w:r>
        <w:t>ci Skarbu Państwa przeznaczonej</w:t>
      </w:r>
      <w:r w:rsidRPr="00EB6E12">
        <w:t xml:space="preserve"> do </w:t>
      </w:r>
      <w:r>
        <w:t xml:space="preserve">oddania w użytkowanie wieczyste w trybie przetargowym na okres 99 lat </w:t>
      </w:r>
      <w:r w:rsidR="005F077E">
        <w:t>z równoczesną</w:t>
      </w:r>
      <w:r>
        <w:t xml:space="preserve"> sprzedażą ogrodzenia usytuowanego </w:t>
      </w:r>
      <w:r w:rsidR="005F077E">
        <w:br/>
      </w:r>
      <w:r>
        <w:t>na przedmiotowej nieruchomości.</w:t>
      </w:r>
    </w:p>
    <w:p w:rsidR="00344166" w:rsidRPr="00EB6E12" w:rsidRDefault="00344166" w:rsidP="00344166">
      <w:pPr>
        <w:pStyle w:val="Tekstpodstawowywcity"/>
        <w:spacing w:line="288" w:lineRule="auto"/>
        <w:ind w:firstLine="0"/>
        <w:jc w:val="center"/>
      </w:pPr>
    </w:p>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80"/>
        <w:gridCol w:w="1978"/>
        <w:gridCol w:w="5670"/>
        <w:gridCol w:w="4678"/>
      </w:tblGrid>
      <w:tr w:rsidR="002A20F3" w:rsidTr="002E2C0C">
        <w:tc>
          <w:tcPr>
            <w:tcW w:w="430" w:type="dxa"/>
            <w:shd w:val="pct10" w:color="auto" w:fill="auto"/>
          </w:tcPr>
          <w:p w:rsidR="002A20F3" w:rsidRDefault="002A20F3" w:rsidP="00344166">
            <w:pPr>
              <w:spacing w:line="288" w:lineRule="auto"/>
              <w:jc w:val="center"/>
              <w:rPr>
                <w:b/>
                <w:bCs/>
              </w:rPr>
            </w:pPr>
          </w:p>
          <w:p w:rsidR="002A20F3" w:rsidRDefault="002A20F3" w:rsidP="00344166">
            <w:pPr>
              <w:spacing w:line="288" w:lineRule="auto"/>
              <w:jc w:val="center"/>
              <w:rPr>
                <w:b/>
                <w:bCs/>
              </w:rPr>
            </w:pPr>
            <w:r>
              <w:rPr>
                <w:b/>
                <w:bCs/>
              </w:rPr>
              <w:t>L.p.</w:t>
            </w:r>
          </w:p>
        </w:tc>
        <w:tc>
          <w:tcPr>
            <w:tcW w:w="1260" w:type="dxa"/>
            <w:shd w:val="pct10" w:color="auto" w:fill="auto"/>
          </w:tcPr>
          <w:p w:rsidR="002A20F3" w:rsidRDefault="002A20F3" w:rsidP="00344166">
            <w:pPr>
              <w:spacing w:line="288" w:lineRule="auto"/>
              <w:jc w:val="center"/>
              <w:rPr>
                <w:b/>
                <w:bCs/>
              </w:rPr>
            </w:pPr>
          </w:p>
          <w:p w:rsidR="002A20F3" w:rsidRDefault="002A20F3" w:rsidP="00344166">
            <w:pPr>
              <w:spacing w:line="288" w:lineRule="auto"/>
              <w:jc w:val="center"/>
              <w:rPr>
                <w:b/>
                <w:bCs/>
              </w:rPr>
            </w:pPr>
            <w:r>
              <w:rPr>
                <w:b/>
                <w:bCs/>
              </w:rPr>
              <w:t xml:space="preserve">Położenie </w:t>
            </w:r>
          </w:p>
        </w:tc>
        <w:tc>
          <w:tcPr>
            <w:tcW w:w="1080" w:type="dxa"/>
            <w:shd w:val="pct10" w:color="auto" w:fill="auto"/>
          </w:tcPr>
          <w:p w:rsidR="002A20F3" w:rsidRDefault="002A20F3" w:rsidP="00344166">
            <w:pPr>
              <w:spacing w:line="288" w:lineRule="auto"/>
              <w:jc w:val="center"/>
              <w:rPr>
                <w:b/>
                <w:bCs/>
              </w:rPr>
            </w:pPr>
          </w:p>
          <w:p w:rsidR="002A20F3" w:rsidRDefault="002A20F3" w:rsidP="00344166">
            <w:pPr>
              <w:spacing w:line="288" w:lineRule="auto"/>
              <w:jc w:val="center"/>
              <w:rPr>
                <w:b/>
                <w:bCs/>
              </w:rPr>
            </w:pPr>
            <w:r>
              <w:rPr>
                <w:b/>
                <w:bCs/>
              </w:rPr>
              <w:t>Numer działki</w:t>
            </w:r>
          </w:p>
          <w:p w:rsidR="002A20F3" w:rsidRDefault="002A20F3" w:rsidP="00344166">
            <w:pPr>
              <w:spacing w:line="288" w:lineRule="auto"/>
              <w:jc w:val="center"/>
              <w:rPr>
                <w:b/>
                <w:bCs/>
              </w:rPr>
            </w:pPr>
          </w:p>
        </w:tc>
        <w:tc>
          <w:tcPr>
            <w:tcW w:w="1978" w:type="dxa"/>
            <w:shd w:val="pct10" w:color="auto" w:fill="auto"/>
          </w:tcPr>
          <w:p w:rsidR="002A20F3" w:rsidRDefault="002A20F3" w:rsidP="00344166">
            <w:pPr>
              <w:spacing w:line="288" w:lineRule="auto"/>
              <w:jc w:val="center"/>
              <w:rPr>
                <w:b/>
                <w:bCs/>
              </w:rPr>
            </w:pPr>
          </w:p>
          <w:p w:rsidR="002A20F3" w:rsidRDefault="002A20F3" w:rsidP="00344166">
            <w:pPr>
              <w:spacing w:line="288" w:lineRule="auto"/>
              <w:jc w:val="center"/>
              <w:rPr>
                <w:b/>
                <w:bCs/>
              </w:rPr>
            </w:pPr>
            <w:r>
              <w:rPr>
                <w:b/>
                <w:bCs/>
              </w:rPr>
              <w:t>Powierzchnia</w:t>
            </w:r>
          </w:p>
          <w:p w:rsidR="002A20F3" w:rsidRDefault="002A20F3" w:rsidP="00344166">
            <w:pPr>
              <w:spacing w:line="288" w:lineRule="auto"/>
              <w:jc w:val="center"/>
              <w:rPr>
                <w:b/>
                <w:bCs/>
              </w:rPr>
            </w:pPr>
            <w:r>
              <w:rPr>
                <w:b/>
                <w:bCs/>
              </w:rPr>
              <w:t xml:space="preserve">(w ha) </w:t>
            </w:r>
          </w:p>
        </w:tc>
        <w:tc>
          <w:tcPr>
            <w:tcW w:w="5670" w:type="dxa"/>
            <w:shd w:val="pct10" w:color="auto" w:fill="auto"/>
          </w:tcPr>
          <w:p w:rsidR="002A20F3" w:rsidRDefault="002A20F3" w:rsidP="00344166">
            <w:pPr>
              <w:spacing w:line="288" w:lineRule="auto"/>
              <w:jc w:val="center"/>
              <w:rPr>
                <w:b/>
                <w:bCs/>
              </w:rPr>
            </w:pPr>
          </w:p>
          <w:p w:rsidR="002A20F3" w:rsidRDefault="002A20F3" w:rsidP="00344166">
            <w:pPr>
              <w:spacing w:line="288" w:lineRule="auto"/>
              <w:jc w:val="center"/>
              <w:rPr>
                <w:b/>
                <w:bCs/>
              </w:rPr>
            </w:pPr>
            <w:r>
              <w:rPr>
                <w:b/>
                <w:bCs/>
              </w:rPr>
              <w:t xml:space="preserve">Przeznaczenie nieruchomości </w:t>
            </w:r>
            <w:r>
              <w:rPr>
                <w:b/>
                <w:bCs/>
              </w:rPr>
              <w:br/>
              <w:t>i sposób jej zagospodarowania</w:t>
            </w:r>
          </w:p>
        </w:tc>
        <w:tc>
          <w:tcPr>
            <w:tcW w:w="4678" w:type="dxa"/>
            <w:shd w:val="pct10" w:color="auto" w:fill="auto"/>
          </w:tcPr>
          <w:p w:rsidR="002A20F3" w:rsidRDefault="002A20F3" w:rsidP="00344166">
            <w:pPr>
              <w:spacing w:line="288" w:lineRule="auto"/>
              <w:jc w:val="center"/>
              <w:rPr>
                <w:b/>
                <w:bCs/>
              </w:rPr>
            </w:pPr>
          </w:p>
          <w:p w:rsidR="002A20F3" w:rsidRDefault="002A20F3" w:rsidP="00344166">
            <w:pPr>
              <w:spacing w:line="288" w:lineRule="auto"/>
              <w:jc w:val="center"/>
              <w:rPr>
                <w:b/>
                <w:bCs/>
              </w:rPr>
            </w:pPr>
            <w:r>
              <w:rPr>
                <w:b/>
                <w:bCs/>
              </w:rPr>
              <w:t>Opis nieruchomości</w:t>
            </w:r>
          </w:p>
        </w:tc>
      </w:tr>
      <w:tr w:rsidR="002A20F3" w:rsidTr="002E2C0C">
        <w:trPr>
          <w:trHeight w:val="1606"/>
        </w:trPr>
        <w:tc>
          <w:tcPr>
            <w:tcW w:w="430" w:type="dxa"/>
          </w:tcPr>
          <w:p w:rsidR="002A20F3" w:rsidRDefault="002A20F3" w:rsidP="00344166">
            <w:pPr>
              <w:pStyle w:val="Bezodstpw"/>
              <w:spacing w:line="288" w:lineRule="auto"/>
              <w:jc w:val="both"/>
            </w:pPr>
            <w:r>
              <w:t>1.</w:t>
            </w:r>
          </w:p>
        </w:tc>
        <w:tc>
          <w:tcPr>
            <w:tcW w:w="1260" w:type="dxa"/>
          </w:tcPr>
          <w:p w:rsidR="002A20F3" w:rsidRDefault="002A20F3" w:rsidP="00344166">
            <w:pPr>
              <w:pStyle w:val="Bezodstpw"/>
              <w:spacing w:line="288" w:lineRule="auto"/>
              <w:jc w:val="both"/>
            </w:pPr>
            <w:r>
              <w:t>Staszów</w:t>
            </w:r>
          </w:p>
        </w:tc>
        <w:tc>
          <w:tcPr>
            <w:tcW w:w="1080" w:type="dxa"/>
          </w:tcPr>
          <w:p w:rsidR="002A20F3" w:rsidRPr="005F077E" w:rsidRDefault="002A20F3" w:rsidP="005F077E">
            <w:pPr>
              <w:pStyle w:val="Bezodstpw"/>
            </w:pPr>
            <w:r w:rsidRPr="005F077E">
              <w:t>5914/2 5917/109 5917/110</w:t>
            </w:r>
          </w:p>
        </w:tc>
        <w:tc>
          <w:tcPr>
            <w:tcW w:w="1978" w:type="dxa"/>
          </w:tcPr>
          <w:p w:rsidR="002A20F3" w:rsidRDefault="002A20F3" w:rsidP="00344166">
            <w:pPr>
              <w:pStyle w:val="Bezodstpw"/>
              <w:spacing w:line="288" w:lineRule="auto"/>
              <w:jc w:val="right"/>
            </w:pPr>
            <w:r>
              <w:t>0,0275</w:t>
            </w:r>
          </w:p>
        </w:tc>
        <w:tc>
          <w:tcPr>
            <w:tcW w:w="5670" w:type="dxa"/>
          </w:tcPr>
          <w:p w:rsidR="002A20F3" w:rsidRPr="005F077E" w:rsidRDefault="002A20F3" w:rsidP="005F077E">
            <w:pPr>
              <w:pStyle w:val="Bezodstpw"/>
            </w:pPr>
            <w:r w:rsidRPr="005F077E">
              <w:t xml:space="preserve">Zgodnie z planem zagospodarowania przestrzennego nieruchomość leży na terenie oznaczonym na planszy graficznej planu symbolem: 1 EG - „Wyznacza się obszar o symbolu 1EG, którego przeznaczeniem są urządzenia gazownictwa, istniejąca stacja do zachowania, obsługa techniczna z ciągu pieszo jezdnego oznaczonego symbolem 1 </w:t>
            </w:r>
            <w:proofErr w:type="spellStart"/>
            <w:r w:rsidRPr="005F077E">
              <w:t>KPj</w:t>
            </w:r>
            <w:proofErr w:type="spellEnd"/>
            <w:r w:rsidRPr="005F077E">
              <w:t>”.</w:t>
            </w:r>
          </w:p>
          <w:p w:rsidR="002A20F3" w:rsidRDefault="002A20F3" w:rsidP="005F077E">
            <w:pPr>
              <w:pStyle w:val="Bezodstpw"/>
            </w:pPr>
            <w:r w:rsidRPr="005F077E">
              <w:t>Nieruchomość zagospodarowana poprzez usytuowanie stacji gazowej zasilającej sieć niskiego ciśnienia wschodniej części miasta Staszów. Stacja gazowa nie jest częścią składową gruntu (własność przedsiębiorstwa przesyłowego). Częścią składową gruntu jest ogrodzenie stacji, które podlega sprzedaży</w:t>
            </w:r>
            <w:r>
              <w:t>.</w:t>
            </w:r>
          </w:p>
        </w:tc>
        <w:tc>
          <w:tcPr>
            <w:tcW w:w="4678" w:type="dxa"/>
          </w:tcPr>
          <w:p w:rsidR="002A20F3" w:rsidRPr="005F077E" w:rsidRDefault="002A20F3" w:rsidP="005F077E">
            <w:pPr>
              <w:pStyle w:val="Bezodstpw"/>
            </w:pPr>
            <w:r w:rsidRPr="005F077E">
              <w:t>Nieruchomość położona w Staszowie przy</w:t>
            </w:r>
          </w:p>
          <w:p w:rsidR="002A20F3" w:rsidRPr="005F077E" w:rsidRDefault="002A20F3" w:rsidP="005F077E">
            <w:pPr>
              <w:pStyle w:val="Bezodstpw"/>
            </w:pPr>
            <w:r w:rsidRPr="005F077E">
              <w:t>ul. Kolejowej; dla działki w ewidencji gruntów wpisano następujące użytki: B - tereny mieszkaniowe; dla nieruchomości prowadzona jest księga wieczysta  Nr KI1A/00005456/2</w:t>
            </w:r>
          </w:p>
        </w:tc>
      </w:tr>
    </w:tbl>
    <w:p w:rsidR="002A20F3" w:rsidRDefault="002A20F3" w:rsidP="00344166">
      <w:pPr>
        <w:pStyle w:val="Bezodstpw"/>
        <w:spacing w:line="288" w:lineRule="auto"/>
        <w:rPr>
          <w:sz w:val="28"/>
        </w:rPr>
      </w:pPr>
    </w:p>
    <w:p w:rsidR="002A20F3" w:rsidRDefault="002A20F3" w:rsidP="00344166">
      <w:pPr>
        <w:pStyle w:val="Bezodstpw"/>
        <w:spacing w:line="288" w:lineRule="auto"/>
        <w:jc w:val="both"/>
      </w:pPr>
      <w:r>
        <w:t xml:space="preserve">Cena wywoławcza nieruchomości wynosi 48 300,00 zł netto ( obejmuje cenę gruntu 24 000,00 zł. i cenę ogrodzenia 24 300,00 zł.). Cena </w:t>
      </w:r>
      <w:r w:rsidR="002E2C0C">
        <w:t xml:space="preserve">sprzedaży </w:t>
      </w:r>
      <w:r>
        <w:t xml:space="preserve">ogrodzenia oraz </w:t>
      </w:r>
      <w:r w:rsidR="002E2C0C">
        <w:t>pierwsza opłata za oddanie nieruchomości gruntowej w użytkowanie wieczyste w drodze przetargu podlega zapłacie jednorazowo, nie później niż do dnia zawarcia umowy o oddanie tej nieruchomości w użytkowanie wieczyste</w:t>
      </w:r>
      <w:r w:rsidR="005A6146">
        <w:t>. O</w:t>
      </w:r>
      <w:r>
        <w:t xml:space="preserve">płaty roczne wynoszą 1 % ceny nieruchomości gruntowej </w:t>
      </w:r>
      <w:r w:rsidR="002E2C0C">
        <w:br/>
      </w:r>
      <w:r>
        <w:t>i będą wnoszone przez cały okres użytkowania wieczystego w terminie do dnia 31 marca każdego roku kalendarzowego, z gó</w:t>
      </w:r>
      <w:r w:rsidR="005A6146">
        <w:t>ry za dany rok.</w:t>
      </w:r>
      <w:r>
        <w:t xml:space="preserve"> </w:t>
      </w:r>
      <w:r w:rsidR="005A6146">
        <w:t>O</w:t>
      </w:r>
      <w:r>
        <w:t xml:space="preserve">ddanie gruntu w użytkowanie wieczyste podlega opodatkowaniu podatkiem od towarów </w:t>
      </w:r>
      <w:r w:rsidR="005A6146">
        <w:t xml:space="preserve">i usług: </w:t>
      </w:r>
      <w:r>
        <w:t xml:space="preserve"> pierwsza opłata i opłaty roczne powiększone będą o podatek </w:t>
      </w:r>
      <w:r w:rsidR="005A6146">
        <w:t>Vat według obowiązującej stawki.</w:t>
      </w:r>
      <w:r w:rsidR="002E2C0C">
        <w:t xml:space="preserve"> </w:t>
      </w:r>
      <w:r w:rsidR="005A6146">
        <w:t>Sprzedaż ogrodzenia zwolniona jest z opodatkowania podatkiem VAT.</w:t>
      </w:r>
    </w:p>
    <w:p w:rsidR="002A20F3" w:rsidRDefault="002A20F3" w:rsidP="00344166">
      <w:pPr>
        <w:pStyle w:val="Bezodstpw"/>
        <w:spacing w:line="288" w:lineRule="auto"/>
        <w:jc w:val="both"/>
        <w:rPr>
          <w:sz w:val="28"/>
        </w:rPr>
      </w:pPr>
    </w:p>
    <w:p w:rsidR="002A20F3" w:rsidRDefault="002A20F3" w:rsidP="00344166">
      <w:pPr>
        <w:pStyle w:val="Bezodstpw"/>
        <w:spacing w:line="288" w:lineRule="auto"/>
        <w:jc w:val="both"/>
        <w:rPr>
          <w:sz w:val="28"/>
        </w:rPr>
      </w:pPr>
      <w:r w:rsidRPr="00680D7B">
        <w:t>Wysokość opłaty rocznej z tytułu użytkowania wiec</w:t>
      </w:r>
      <w:r>
        <w:t>zystego nieruchomości gruntowej</w:t>
      </w:r>
      <w:r w:rsidRPr="00680D7B">
        <w:t xml:space="preserve"> podlega aktualizacji nie częściej niż raz na 3 lata, jeżeli wartość tej nieruchomości ulegnie zmianie. Zaktualizowaną opłatę roczną ustala się, przy zastosowaniu dotychczasowej stawki procentowej, od wartości nieruchomości określonej na dzień aktualizacji opłaty</w:t>
      </w:r>
      <w:r w:rsidR="005A6146">
        <w:t>.</w:t>
      </w:r>
    </w:p>
    <w:p w:rsidR="002A20F3" w:rsidRDefault="002A20F3" w:rsidP="00344166">
      <w:pPr>
        <w:pStyle w:val="Bezodstpw"/>
        <w:spacing w:line="288" w:lineRule="auto"/>
        <w:jc w:val="both"/>
        <w:rPr>
          <w:sz w:val="28"/>
        </w:rPr>
      </w:pPr>
    </w:p>
    <w:p w:rsidR="002A20F3" w:rsidRDefault="002A20F3" w:rsidP="00344166">
      <w:pPr>
        <w:pStyle w:val="Bezodstpw"/>
        <w:spacing w:line="288" w:lineRule="auto"/>
        <w:jc w:val="both"/>
      </w:pPr>
      <w:r>
        <w:t xml:space="preserve">Zgodnie z art. 34 ust. 1 pkt 1 i pkt 2 ustawy </w:t>
      </w:r>
      <w:r w:rsidRPr="00BE75C0">
        <w:rPr>
          <w:i/>
        </w:rPr>
        <w:t>o gospodarce nieruchomościami</w:t>
      </w:r>
      <w:r>
        <w:t xml:space="preserve"> pierwszeństwo w nabyciu nieruchomości przysługuje osobie, której: </w:t>
      </w:r>
    </w:p>
    <w:p w:rsidR="002A20F3" w:rsidRDefault="002A20F3" w:rsidP="00344166">
      <w:pPr>
        <w:pStyle w:val="Bezodstpw"/>
        <w:numPr>
          <w:ilvl w:val="0"/>
          <w:numId w:val="3"/>
        </w:numPr>
        <w:spacing w:line="288" w:lineRule="auto"/>
        <w:jc w:val="both"/>
      </w:pPr>
      <w:r>
        <w:t xml:space="preserve">przysługuje roszczenie o nabycie nieruchomości z mocy wyżej wymienionej ustawy lub odrębnych przepisów, </w:t>
      </w:r>
    </w:p>
    <w:p w:rsidR="002A20F3" w:rsidRDefault="002A20F3" w:rsidP="00344166">
      <w:pPr>
        <w:pStyle w:val="Bezodstpw"/>
        <w:numPr>
          <w:ilvl w:val="0"/>
          <w:numId w:val="3"/>
        </w:numPr>
        <w:spacing w:line="288" w:lineRule="auto"/>
        <w:jc w:val="both"/>
      </w:pPr>
      <w:r>
        <w:t xml:space="preserve">poprzedniemu właścicielowi nieruchomości pozbawionemu prawa własności tej nieruchomości przed 5 grudnia 1990 r. albo jego spadkobiercy, </w:t>
      </w:r>
    </w:p>
    <w:p w:rsidR="002A20F3" w:rsidRDefault="002A20F3" w:rsidP="00344166">
      <w:pPr>
        <w:pStyle w:val="Bezodstpw"/>
        <w:spacing w:line="288" w:lineRule="auto"/>
        <w:ind w:left="720"/>
        <w:jc w:val="both"/>
      </w:pPr>
      <w:r>
        <w:t xml:space="preserve">jeżeli osoby te złożą wniosek o nabycie nieruchomości </w:t>
      </w:r>
      <w:r w:rsidRPr="00BE75C0">
        <w:rPr>
          <w:b/>
        </w:rPr>
        <w:t xml:space="preserve">do dnia </w:t>
      </w:r>
      <w:r w:rsidR="005A6146">
        <w:rPr>
          <w:b/>
        </w:rPr>
        <w:t>7 kwietnia</w:t>
      </w:r>
      <w:r w:rsidRPr="00BE75C0">
        <w:rPr>
          <w:b/>
        </w:rPr>
        <w:t xml:space="preserve"> 2020 r.</w:t>
      </w:r>
      <w:r>
        <w:t xml:space="preserve"> i złożą oświadczenie, że wyrażają zgodę na jej nabycie za cenę ustaloną w sposób określony w ustawie o gospodarce nieruchomościami. </w:t>
      </w:r>
    </w:p>
    <w:p w:rsidR="002A20F3" w:rsidRDefault="002A20F3" w:rsidP="00344166">
      <w:pPr>
        <w:pStyle w:val="Bezodstpw"/>
        <w:spacing w:line="288" w:lineRule="auto"/>
        <w:jc w:val="both"/>
      </w:pPr>
    </w:p>
    <w:p w:rsidR="002A20F3" w:rsidRDefault="002A20F3" w:rsidP="00344166">
      <w:pPr>
        <w:pStyle w:val="Bezodstpw"/>
        <w:spacing w:line="288" w:lineRule="auto"/>
        <w:jc w:val="both"/>
      </w:pPr>
      <w:r>
        <w:t xml:space="preserve">Szczegółowe informacje można uzyskać w siedzibie Starostwa Powiatowego w Staszowie przy ul. Piłsudskiego 7, I piętro, pokój nr </w:t>
      </w:r>
      <w:smartTag w:uri="urn:schemas-microsoft-com:office:smarttags" w:element="metricconverter">
        <w:smartTagPr>
          <w:attr w:name="ProductID" w:val="27 A"/>
        </w:smartTagPr>
        <w:r>
          <w:t>27 A</w:t>
        </w:r>
      </w:smartTag>
      <w:r>
        <w:t xml:space="preserve"> lub telefonicznie </w:t>
      </w:r>
      <w:r>
        <w:br/>
        <w:t>0-15 / 866 50 43.</w:t>
      </w:r>
    </w:p>
    <w:p w:rsidR="002A20F3" w:rsidRDefault="002A20F3" w:rsidP="00344166">
      <w:pPr>
        <w:spacing w:line="288" w:lineRule="auto"/>
        <w:jc w:val="both"/>
        <w:rPr>
          <w:sz w:val="28"/>
        </w:rPr>
      </w:pPr>
    </w:p>
    <w:p w:rsidR="002A20F3" w:rsidRDefault="002A20F3" w:rsidP="00344166">
      <w:pPr>
        <w:spacing w:line="288" w:lineRule="auto"/>
        <w:jc w:val="both"/>
        <w:rPr>
          <w:sz w:val="28"/>
        </w:rPr>
      </w:pPr>
    </w:p>
    <w:p w:rsidR="002A20F3" w:rsidRDefault="002A20F3" w:rsidP="00344166">
      <w:pPr>
        <w:spacing w:line="288" w:lineRule="auto"/>
        <w:rPr>
          <w:sz w:val="28"/>
        </w:rPr>
      </w:pPr>
    </w:p>
    <w:p w:rsidR="002A20F3" w:rsidRDefault="002A20F3" w:rsidP="00344166">
      <w:pPr>
        <w:spacing w:line="288" w:lineRule="auto"/>
        <w:rPr>
          <w:sz w:val="28"/>
        </w:rPr>
      </w:pPr>
    </w:p>
    <w:p w:rsidR="005F077E" w:rsidRDefault="0029727A" w:rsidP="006701A4">
      <w:pPr>
        <w:spacing w:line="288" w:lineRule="auto"/>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bookmarkStart w:id="0" w:name="_GoBack"/>
      <w:bookmarkEnd w:id="0"/>
    </w:p>
    <w:p w:rsidR="005F077E" w:rsidRDefault="005F077E" w:rsidP="00344166">
      <w:pPr>
        <w:spacing w:line="288" w:lineRule="auto"/>
      </w:pPr>
    </w:p>
    <w:p w:rsidR="005F077E" w:rsidRDefault="005F077E" w:rsidP="00344166">
      <w:pPr>
        <w:spacing w:line="288" w:lineRule="auto"/>
      </w:pPr>
    </w:p>
    <w:p w:rsidR="005F077E" w:rsidRDefault="005F077E" w:rsidP="00344166">
      <w:pPr>
        <w:spacing w:line="288" w:lineRule="auto"/>
      </w:pPr>
    </w:p>
    <w:p w:rsidR="005F077E" w:rsidRDefault="005F077E" w:rsidP="00344166">
      <w:pPr>
        <w:spacing w:line="288" w:lineRule="auto"/>
      </w:pPr>
    </w:p>
    <w:p w:rsidR="005F077E" w:rsidRDefault="005F077E" w:rsidP="00344166">
      <w:pPr>
        <w:spacing w:line="288" w:lineRule="auto"/>
      </w:pPr>
    </w:p>
    <w:p w:rsidR="002A20F3" w:rsidRDefault="002A20F3" w:rsidP="00344166">
      <w:pPr>
        <w:spacing w:line="288" w:lineRule="auto"/>
      </w:pPr>
    </w:p>
    <w:p w:rsidR="00344166" w:rsidRDefault="00344166" w:rsidP="00344166">
      <w:pPr>
        <w:spacing w:line="288" w:lineRule="auto"/>
      </w:pPr>
    </w:p>
    <w:p w:rsidR="00344166" w:rsidRDefault="00344166" w:rsidP="00344166">
      <w:pPr>
        <w:spacing w:line="288" w:lineRule="auto"/>
      </w:pPr>
    </w:p>
    <w:sectPr w:rsidR="00344166" w:rsidSect="002A20F3">
      <w:pgSz w:w="16838" w:h="11906" w:orient="landscape"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86F26"/>
    <w:multiLevelType w:val="hybridMultilevel"/>
    <w:tmpl w:val="BB986766"/>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
    <w:nsid w:val="1E8226D7"/>
    <w:multiLevelType w:val="hybridMultilevel"/>
    <w:tmpl w:val="D41A948C"/>
    <w:lvl w:ilvl="0" w:tplc="9DBCA880">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nsid w:val="25A604D1"/>
    <w:multiLevelType w:val="hybridMultilevel"/>
    <w:tmpl w:val="E3082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5E4"/>
    <w:rsid w:val="0029727A"/>
    <w:rsid w:val="002A20F3"/>
    <w:rsid w:val="002E2C0C"/>
    <w:rsid w:val="003275E4"/>
    <w:rsid w:val="00344166"/>
    <w:rsid w:val="003507E7"/>
    <w:rsid w:val="00584A93"/>
    <w:rsid w:val="005A6146"/>
    <w:rsid w:val="005F077E"/>
    <w:rsid w:val="006701A4"/>
    <w:rsid w:val="00821933"/>
    <w:rsid w:val="00957982"/>
    <w:rsid w:val="00AB7807"/>
    <w:rsid w:val="00B67732"/>
    <w:rsid w:val="00BB3E93"/>
    <w:rsid w:val="00BE75C0"/>
    <w:rsid w:val="00C904C0"/>
    <w:rsid w:val="00DA03B7"/>
    <w:rsid w:val="00DB4F3A"/>
    <w:rsid w:val="00FD23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75E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3275E4"/>
    <w:pPr>
      <w:ind w:firstLine="708"/>
    </w:pPr>
  </w:style>
  <w:style w:type="character" w:customStyle="1" w:styleId="TekstpodstawowywcityZnak">
    <w:name w:val="Tekst podstawowy wcięty Znak"/>
    <w:basedOn w:val="Domylnaczcionkaakapitu"/>
    <w:link w:val="Tekstpodstawowywcity"/>
    <w:rsid w:val="003275E4"/>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3275E4"/>
    <w:pPr>
      <w:spacing w:after="120"/>
    </w:pPr>
  </w:style>
  <w:style w:type="character" w:customStyle="1" w:styleId="TekstpodstawowyZnak">
    <w:name w:val="Tekst podstawowy Znak"/>
    <w:basedOn w:val="Domylnaczcionkaakapitu"/>
    <w:link w:val="Tekstpodstawowy"/>
    <w:rsid w:val="003275E4"/>
    <w:rPr>
      <w:rFonts w:ascii="Times New Roman" w:eastAsia="Times New Roman" w:hAnsi="Times New Roman" w:cs="Times New Roman"/>
      <w:sz w:val="24"/>
      <w:szCs w:val="24"/>
      <w:lang w:eastAsia="pl-PL"/>
    </w:rPr>
  </w:style>
  <w:style w:type="paragraph" w:styleId="Bezodstpw">
    <w:name w:val="No Spacing"/>
    <w:uiPriority w:val="1"/>
    <w:qFormat/>
    <w:rsid w:val="003275E4"/>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44166"/>
    <w:rPr>
      <w:rFonts w:ascii="Tahoma" w:hAnsi="Tahoma" w:cs="Tahoma"/>
      <w:sz w:val="16"/>
      <w:szCs w:val="16"/>
    </w:rPr>
  </w:style>
  <w:style w:type="character" w:customStyle="1" w:styleId="TekstdymkaZnak">
    <w:name w:val="Tekst dymka Znak"/>
    <w:basedOn w:val="Domylnaczcionkaakapitu"/>
    <w:link w:val="Tekstdymka"/>
    <w:uiPriority w:val="99"/>
    <w:semiHidden/>
    <w:rsid w:val="00344166"/>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75E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3275E4"/>
    <w:pPr>
      <w:ind w:firstLine="708"/>
    </w:pPr>
  </w:style>
  <w:style w:type="character" w:customStyle="1" w:styleId="TekstpodstawowywcityZnak">
    <w:name w:val="Tekst podstawowy wcięty Znak"/>
    <w:basedOn w:val="Domylnaczcionkaakapitu"/>
    <w:link w:val="Tekstpodstawowywcity"/>
    <w:rsid w:val="003275E4"/>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3275E4"/>
    <w:pPr>
      <w:spacing w:after="120"/>
    </w:pPr>
  </w:style>
  <w:style w:type="character" w:customStyle="1" w:styleId="TekstpodstawowyZnak">
    <w:name w:val="Tekst podstawowy Znak"/>
    <w:basedOn w:val="Domylnaczcionkaakapitu"/>
    <w:link w:val="Tekstpodstawowy"/>
    <w:rsid w:val="003275E4"/>
    <w:rPr>
      <w:rFonts w:ascii="Times New Roman" w:eastAsia="Times New Roman" w:hAnsi="Times New Roman" w:cs="Times New Roman"/>
      <w:sz w:val="24"/>
      <w:szCs w:val="24"/>
      <w:lang w:eastAsia="pl-PL"/>
    </w:rPr>
  </w:style>
  <w:style w:type="paragraph" w:styleId="Bezodstpw">
    <w:name w:val="No Spacing"/>
    <w:uiPriority w:val="1"/>
    <w:qFormat/>
    <w:rsid w:val="003275E4"/>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44166"/>
    <w:rPr>
      <w:rFonts w:ascii="Tahoma" w:hAnsi="Tahoma" w:cs="Tahoma"/>
      <w:sz w:val="16"/>
      <w:szCs w:val="16"/>
    </w:rPr>
  </w:style>
  <w:style w:type="character" w:customStyle="1" w:styleId="TekstdymkaZnak">
    <w:name w:val="Tekst dymka Znak"/>
    <w:basedOn w:val="Domylnaczcionkaakapitu"/>
    <w:link w:val="Tekstdymka"/>
    <w:uiPriority w:val="99"/>
    <w:semiHidden/>
    <w:rsid w:val="00344166"/>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499</Words>
  <Characters>2997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Pisula</dc:creator>
  <cp:lastModifiedBy>Anna Pisula</cp:lastModifiedBy>
  <cp:revision>6</cp:revision>
  <cp:lastPrinted>2020-02-17T10:18:00Z</cp:lastPrinted>
  <dcterms:created xsi:type="dcterms:W3CDTF">2020-02-10T12:45:00Z</dcterms:created>
  <dcterms:modified xsi:type="dcterms:W3CDTF">2020-02-17T10:19:00Z</dcterms:modified>
</cp:coreProperties>
</file>